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37" w:rsidRDefault="004C1E74">
      <w:r>
        <w:t xml:space="preserve">Osnovna škola </w:t>
      </w:r>
      <w:proofErr w:type="spellStart"/>
      <w:r>
        <w:t>Milna</w:t>
      </w:r>
      <w:proofErr w:type="spellEnd"/>
    </w:p>
    <w:p w:rsidR="004C1E74" w:rsidRDefault="004C1E74">
      <w:r>
        <w:t xml:space="preserve">Žalo 15.21405 </w:t>
      </w:r>
      <w:proofErr w:type="spellStart"/>
      <w:r>
        <w:t>Milna</w:t>
      </w:r>
      <w:proofErr w:type="spellEnd"/>
    </w:p>
    <w:p w:rsidR="004C1E74" w:rsidRDefault="004C1E74">
      <w:r>
        <w:t>Klasa:</w:t>
      </w:r>
      <w:r w:rsidR="00036F70">
        <w:t xml:space="preserve"> 406-01/19-01/200</w:t>
      </w:r>
    </w:p>
    <w:p w:rsidR="004C1E74" w:rsidRDefault="004C1E74">
      <w:proofErr w:type="spellStart"/>
      <w:r>
        <w:t>Ur.broj</w:t>
      </w:r>
      <w:proofErr w:type="spellEnd"/>
      <w:r>
        <w:t>:</w:t>
      </w:r>
      <w:r w:rsidR="00036F70">
        <w:t xml:space="preserve"> 2104-32-01-19-1</w:t>
      </w:r>
    </w:p>
    <w:p w:rsidR="004C1E74" w:rsidRDefault="004C1E74">
      <w:proofErr w:type="spellStart"/>
      <w:r>
        <w:t>Milna</w:t>
      </w:r>
      <w:proofErr w:type="spellEnd"/>
      <w:r>
        <w:t xml:space="preserve">, </w:t>
      </w:r>
      <w:r w:rsidR="005249BA">
        <w:t>19</w:t>
      </w:r>
      <w:r>
        <w:t>.1</w:t>
      </w:r>
      <w:r w:rsidR="005249BA">
        <w:t>1</w:t>
      </w:r>
      <w:r>
        <w:t>.2019.</w:t>
      </w:r>
    </w:p>
    <w:p w:rsidR="004C1E74" w:rsidRDefault="004C1E74"/>
    <w:p w:rsidR="004C1E74" w:rsidRDefault="004C1E74">
      <w:r>
        <w:t xml:space="preserve">Temeljem članka 34. Zakona o fiskalnoj odgovornosti(NN111/18)i članka 7. Uredbe o sastavljanju i predaji izjave o fiskalnoj odgovornosti(NN95/19) ravnateljica Osnovne škole </w:t>
      </w:r>
      <w:proofErr w:type="spellStart"/>
      <w:r>
        <w:t>Milna</w:t>
      </w:r>
      <w:proofErr w:type="spellEnd"/>
      <w:r>
        <w:t xml:space="preserve">  Milka </w:t>
      </w:r>
      <w:proofErr w:type="spellStart"/>
      <w:r>
        <w:t>Restović</w:t>
      </w:r>
      <w:proofErr w:type="spellEnd"/>
      <w:r>
        <w:t xml:space="preserve"> donosi:</w:t>
      </w:r>
    </w:p>
    <w:p w:rsidR="004C1E74" w:rsidRDefault="004C1E74">
      <w:r>
        <w:t>PROCEDURU ZAPRIMANJA I PROVJERE RAČUNA TE PLAĆANJA PO RAČUNIMA</w:t>
      </w:r>
    </w:p>
    <w:p w:rsidR="004C1E74" w:rsidRDefault="004C1E74">
      <w:r>
        <w:t>Postupak zaprimanja i provjere računa te plaćanja po računima provodi se po sljedećoj proceduri:</w:t>
      </w:r>
    </w:p>
    <w:tbl>
      <w:tblPr>
        <w:tblStyle w:val="Reetkatablice"/>
        <w:tblW w:w="0" w:type="auto"/>
        <w:tblLayout w:type="fixed"/>
        <w:tblLook w:val="04A0"/>
      </w:tblPr>
      <w:tblGrid>
        <w:gridCol w:w="1564"/>
        <w:gridCol w:w="3148"/>
        <w:gridCol w:w="1633"/>
        <w:gridCol w:w="142"/>
        <w:gridCol w:w="1418"/>
        <w:gridCol w:w="1383"/>
      </w:tblGrid>
      <w:tr w:rsidR="00603CB2" w:rsidTr="00036F70">
        <w:trPr>
          <w:trHeight w:val="315"/>
        </w:trPr>
        <w:tc>
          <w:tcPr>
            <w:tcW w:w="1564" w:type="dxa"/>
            <w:vMerge w:val="restart"/>
            <w:shd w:val="clear" w:color="auto" w:fill="FDE9D9" w:themeFill="accent6" w:themeFillTint="33"/>
          </w:tcPr>
          <w:p w:rsidR="000E3BDD" w:rsidRDefault="000E3BDD">
            <w:r>
              <w:t>DIJAGRAM TIJEKA</w:t>
            </w:r>
          </w:p>
        </w:tc>
        <w:tc>
          <w:tcPr>
            <w:tcW w:w="3148" w:type="dxa"/>
            <w:vMerge w:val="restart"/>
            <w:shd w:val="clear" w:color="auto" w:fill="FDE9D9" w:themeFill="accent6" w:themeFillTint="33"/>
          </w:tcPr>
          <w:p w:rsidR="000E3BDD" w:rsidRDefault="000E3BDD">
            <w:r>
              <w:t>OPIS AKTIVNOSTI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3BDD" w:rsidRDefault="000E3BDD" w:rsidP="000E3BDD">
            <w:pPr>
              <w:jc w:val="center"/>
            </w:pPr>
            <w:r>
              <w:t>IZVRŠENJE</w:t>
            </w:r>
          </w:p>
        </w:tc>
        <w:tc>
          <w:tcPr>
            <w:tcW w:w="1383" w:type="dxa"/>
            <w:vMerge w:val="restart"/>
            <w:shd w:val="clear" w:color="auto" w:fill="FDE9D9" w:themeFill="accent6" w:themeFillTint="33"/>
          </w:tcPr>
          <w:p w:rsidR="000E3BDD" w:rsidRDefault="000E3BDD">
            <w:r>
              <w:t>POPRATNI DOKUMENTI</w:t>
            </w:r>
          </w:p>
        </w:tc>
      </w:tr>
      <w:tr w:rsidR="00F928A6" w:rsidTr="00036F70">
        <w:trPr>
          <w:trHeight w:val="210"/>
        </w:trPr>
        <w:tc>
          <w:tcPr>
            <w:tcW w:w="1564" w:type="dxa"/>
            <w:vMerge/>
            <w:shd w:val="clear" w:color="auto" w:fill="FDE9D9" w:themeFill="accent6" w:themeFillTint="33"/>
          </w:tcPr>
          <w:p w:rsidR="000E3BDD" w:rsidRDefault="000E3BDD"/>
        </w:tc>
        <w:tc>
          <w:tcPr>
            <w:tcW w:w="3148" w:type="dxa"/>
            <w:vMerge/>
            <w:shd w:val="clear" w:color="auto" w:fill="FDE9D9" w:themeFill="accent6" w:themeFillTint="33"/>
          </w:tcPr>
          <w:p w:rsidR="000E3BDD" w:rsidRDefault="000E3BDD"/>
        </w:tc>
        <w:tc>
          <w:tcPr>
            <w:tcW w:w="1775" w:type="dxa"/>
            <w:gridSpan w:val="2"/>
            <w:shd w:val="clear" w:color="auto" w:fill="FDE9D9" w:themeFill="accent6" w:themeFillTint="33"/>
          </w:tcPr>
          <w:p w:rsidR="000E3BDD" w:rsidRDefault="000E3BDD" w:rsidP="000E3BDD">
            <w:r>
              <w:t>ODGOVORNOST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E3BDD" w:rsidRDefault="000E3BDD" w:rsidP="000E3BDD">
            <w:r>
              <w:t xml:space="preserve">         ROK</w:t>
            </w:r>
          </w:p>
        </w:tc>
        <w:tc>
          <w:tcPr>
            <w:tcW w:w="1383" w:type="dxa"/>
            <w:vMerge/>
            <w:shd w:val="clear" w:color="auto" w:fill="FDE9D9" w:themeFill="accent6" w:themeFillTint="33"/>
          </w:tcPr>
          <w:p w:rsidR="000E3BDD" w:rsidRDefault="000E3BDD"/>
        </w:tc>
      </w:tr>
      <w:tr w:rsidR="00F928A6" w:rsidTr="00036F70">
        <w:tc>
          <w:tcPr>
            <w:tcW w:w="1564" w:type="dxa"/>
          </w:tcPr>
          <w:p w:rsidR="004C1E74" w:rsidRDefault="000E3BDD">
            <w:r>
              <w:t>Zaprimanje računa u elektroničkom obliku</w:t>
            </w:r>
          </w:p>
        </w:tc>
        <w:tc>
          <w:tcPr>
            <w:tcW w:w="3148" w:type="dxa"/>
          </w:tcPr>
          <w:p w:rsidR="004C1E74" w:rsidRDefault="000E3BDD">
            <w:r>
              <w:t>E-računi se zaprimaju i preuzimaju u računovodstvu</w:t>
            </w:r>
          </w:p>
        </w:tc>
        <w:tc>
          <w:tcPr>
            <w:tcW w:w="1633" w:type="dxa"/>
          </w:tcPr>
          <w:p w:rsidR="004C1E74" w:rsidRDefault="000E3BDD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0E3BDD">
            <w:r>
              <w:t xml:space="preserve">najviše 2 radna dana od  </w:t>
            </w:r>
            <w:proofErr w:type="spellStart"/>
            <w:r>
              <w:t>maila</w:t>
            </w:r>
            <w:proofErr w:type="spellEnd"/>
            <w:r>
              <w:t xml:space="preserve"> da je e-račun stigao</w:t>
            </w:r>
          </w:p>
        </w:tc>
        <w:tc>
          <w:tcPr>
            <w:tcW w:w="1383" w:type="dxa"/>
          </w:tcPr>
          <w:p w:rsidR="004C1E74" w:rsidRDefault="004C1E74"/>
        </w:tc>
      </w:tr>
      <w:tr w:rsidR="00F928A6" w:rsidTr="00036F70">
        <w:tc>
          <w:tcPr>
            <w:tcW w:w="1564" w:type="dxa"/>
          </w:tcPr>
          <w:p w:rsidR="004C1E74" w:rsidRDefault="000E3BDD">
            <w:r>
              <w:t>Pretvaranje e-računa u papirnati oblik</w:t>
            </w:r>
          </w:p>
        </w:tc>
        <w:tc>
          <w:tcPr>
            <w:tcW w:w="3148" w:type="dxa"/>
          </w:tcPr>
          <w:p w:rsidR="004C1E74" w:rsidRDefault="000E3BDD">
            <w:r>
              <w:t>e- računi se tiskaju na papir u PDF formi, stavlja se prijamni štambilj i upisuje datum zaprimanja</w:t>
            </w:r>
          </w:p>
        </w:tc>
        <w:tc>
          <w:tcPr>
            <w:tcW w:w="1633" w:type="dxa"/>
          </w:tcPr>
          <w:p w:rsidR="004C1E74" w:rsidRDefault="000E3BDD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0E3BDD">
            <w:r>
              <w:t>Istog dana kao i zaprimanje računa</w:t>
            </w:r>
          </w:p>
        </w:tc>
        <w:tc>
          <w:tcPr>
            <w:tcW w:w="1383" w:type="dxa"/>
          </w:tcPr>
          <w:p w:rsidR="004C1E74" w:rsidRDefault="004C1E74"/>
        </w:tc>
      </w:tr>
      <w:tr w:rsidR="00F928A6" w:rsidTr="00036F70">
        <w:tc>
          <w:tcPr>
            <w:tcW w:w="1564" w:type="dxa"/>
          </w:tcPr>
          <w:p w:rsidR="004C1E74" w:rsidRDefault="000E3BDD">
            <w:r>
              <w:t>Zaprimanje računa u papirnatom obliku</w:t>
            </w:r>
          </w:p>
        </w:tc>
        <w:tc>
          <w:tcPr>
            <w:tcW w:w="3148" w:type="dxa"/>
          </w:tcPr>
          <w:p w:rsidR="004C1E74" w:rsidRDefault="00FC55B2">
            <w:r>
              <w:t>Računi se zaprimaju u računovodstvu, stavlja se prijamni štambilj i upisuje datum zaprimanja</w:t>
            </w:r>
          </w:p>
          <w:p w:rsidR="00FC55B2" w:rsidRDefault="00FC55B2">
            <w:r>
              <w:t>Provođenje formalne i računske kontrole</w:t>
            </w:r>
          </w:p>
        </w:tc>
        <w:tc>
          <w:tcPr>
            <w:tcW w:w="1633" w:type="dxa"/>
          </w:tcPr>
          <w:p w:rsidR="004C1E74" w:rsidRDefault="00FC55B2">
            <w:r>
              <w:t>Računovođa</w:t>
            </w:r>
          </w:p>
          <w:p w:rsidR="00FC55B2" w:rsidRDefault="00FC55B2"/>
          <w:p w:rsidR="00FC55B2" w:rsidRDefault="00FC55B2"/>
          <w:p w:rsidR="00FC55B2" w:rsidRDefault="00FC55B2"/>
          <w:p w:rsidR="00FC55B2" w:rsidRDefault="00FC55B2"/>
          <w:p w:rsidR="00FC55B2" w:rsidRDefault="00FC55B2"/>
          <w:p w:rsidR="00FC55B2" w:rsidRDefault="00FC55B2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FC55B2">
            <w:r>
              <w:t>Istog dana</w:t>
            </w:r>
          </w:p>
          <w:p w:rsidR="00FC55B2" w:rsidRDefault="00FC55B2"/>
          <w:p w:rsidR="00FC55B2" w:rsidRDefault="00FC55B2"/>
          <w:p w:rsidR="00FC55B2" w:rsidRDefault="00FC55B2"/>
          <w:p w:rsidR="00FC55B2" w:rsidRDefault="00FC55B2"/>
          <w:p w:rsidR="00FC55B2" w:rsidRDefault="00FC55B2"/>
          <w:p w:rsidR="00FC55B2" w:rsidRDefault="00FC55B2">
            <w:r>
              <w:t>Najviše 2 radna dana od primanja</w:t>
            </w:r>
          </w:p>
        </w:tc>
        <w:tc>
          <w:tcPr>
            <w:tcW w:w="1383" w:type="dxa"/>
          </w:tcPr>
          <w:p w:rsidR="004C1E74" w:rsidRDefault="004C1E74"/>
        </w:tc>
      </w:tr>
      <w:tr w:rsidR="00F928A6" w:rsidTr="00036F70">
        <w:tc>
          <w:tcPr>
            <w:tcW w:w="1564" w:type="dxa"/>
          </w:tcPr>
          <w:p w:rsidR="004C1E74" w:rsidRDefault="00FC55B2">
            <w:r>
              <w:t>Suštinska kontrola računa</w:t>
            </w:r>
          </w:p>
        </w:tc>
        <w:tc>
          <w:tcPr>
            <w:tcW w:w="3148" w:type="dxa"/>
          </w:tcPr>
          <w:p w:rsidR="004C1E74" w:rsidRDefault="00FC55B2">
            <w:r>
              <w:t>Suštinska kontrola računa obavlja se prilikom isporuke te se na otpremnici upisuje datum kontrole i paraf</w:t>
            </w:r>
          </w:p>
        </w:tc>
        <w:tc>
          <w:tcPr>
            <w:tcW w:w="1633" w:type="dxa"/>
          </w:tcPr>
          <w:p w:rsidR="004C1E74" w:rsidRDefault="00FC55B2">
            <w:r>
              <w:t>Djelatnik koji preuzima robu</w:t>
            </w:r>
          </w:p>
        </w:tc>
        <w:tc>
          <w:tcPr>
            <w:tcW w:w="1560" w:type="dxa"/>
            <w:gridSpan w:val="2"/>
          </w:tcPr>
          <w:p w:rsidR="004C1E74" w:rsidRDefault="00FC55B2">
            <w:r>
              <w:t>Odmah po preuzimanju</w:t>
            </w:r>
          </w:p>
        </w:tc>
        <w:tc>
          <w:tcPr>
            <w:tcW w:w="1383" w:type="dxa"/>
          </w:tcPr>
          <w:p w:rsidR="004C1E74" w:rsidRDefault="00FC55B2">
            <w:r>
              <w:t>Račun</w:t>
            </w:r>
          </w:p>
          <w:p w:rsidR="00FC55B2" w:rsidRDefault="00FC55B2">
            <w:r>
              <w:t>otpremnica</w:t>
            </w:r>
          </w:p>
        </w:tc>
      </w:tr>
      <w:tr w:rsidR="00F928A6" w:rsidTr="00036F70">
        <w:tc>
          <w:tcPr>
            <w:tcW w:w="1564" w:type="dxa"/>
          </w:tcPr>
          <w:p w:rsidR="004C1E74" w:rsidRDefault="00FC55B2">
            <w:r>
              <w:t>Računovodstvena kontrola</w:t>
            </w:r>
          </w:p>
        </w:tc>
        <w:tc>
          <w:tcPr>
            <w:tcW w:w="3148" w:type="dxa"/>
          </w:tcPr>
          <w:p w:rsidR="004C1E74" w:rsidRDefault="00FC55B2">
            <w:r>
              <w:t>Kao potvrda obavljene računovodstvene kontrole upisuje se na račun datum kontrole i paraf</w:t>
            </w:r>
          </w:p>
        </w:tc>
        <w:tc>
          <w:tcPr>
            <w:tcW w:w="1633" w:type="dxa"/>
          </w:tcPr>
          <w:p w:rsidR="004C1E74" w:rsidRDefault="00FC55B2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FC55B2">
            <w:r>
              <w:t>1 dan po zaprimanju</w:t>
            </w:r>
          </w:p>
        </w:tc>
        <w:tc>
          <w:tcPr>
            <w:tcW w:w="1383" w:type="dxa"/>
          </w:tcPr>
          <w:p w:rsidR="004C1E74" w:rsidRDefault="00FC55B2">
            <w:r>
              <w:t>račun</w:t>
            </w:r>
          </w:p>
        </w:tc>
      </w:tr>
      <w:tr w:rsidR="00F928A6" w:rsidTr="00036F70">
        <w:tc>
          <w:tcPr>
            <w:tcW w:w="1564" w:type="dxa"/>
          </w:tcPr>
          <w:p w:rsidR="004C1E74" w:rsidRDefault="00FC55B2">
            <w:r>
              <w:t>Odobrenje računa za plaćanje i evidentiranje</w:t>
            </w:r>
          </w:p>
        </w:tc>
        <w:tc>
          <w:tcPr>
            <w:tcW w:w="3148" w:type="dxa"/>
          </w:tcPr>
          <w:p w:rsidR="004C1E74" w:rsidRDefault="00F928A6">
            <w:r>
              <w:t>Račun se odobrava i parafira</w:t>
            </w:r>
          </w:p>
        </w:tc>
        <w:tc>
          <w:tcPr>
            <w:tcW w:w="1633" w:type="dxa"/>
          </w:tcPr>
          <w:p w:rsidR="004C1E74" w:rsidRDefault="00F928A6">
            <w:r>
              <w:t>ravnatelj</w:t>
            </w:r>
          </w:p>
        </w:tc>
        <w:tc>
          <w:tcPr>
            <w:tcW w:w="1560" w:type="dxa"/>
            <w:gridSpan w:val="2"/>
          </w:tcPr>
          <w:p w:rsidR="004C1E74" w:rsidRDefault="00F928A6">
            <w:r>
              <w:t>Najviše 2 dana nakon provedene računovodstvene kontrole</w:t>
            </w:r>
          </w:p>
        </w:tc>
        <w:tc>
          <w:tcPr>
            <w:tcW w:w="1383" w:type="dxa"/>
          </w:tcPr>
          <w:p w:rsidR="004C1E74" w:rsidRDefault="00F928A6">
            <w:r>
              <w:t>račun</w:t>
            </w:r>
          </w:p>
        </w:tc>
      </w:tr>
      <w:tr w:rsidR="00F928A6" w:rsidTr="00036F70">
        <w:tc>
          <w:tcPr>
            <w:tcW w:w="1564" w:type="dxa"/>
          </w:tcPr>
          <w:p w:rsidR="004C1E74" w:rsidRDefault="00F928A6">
            <w:r>
              <w:lastRenderedPageBreak/>
              <w:t>Obrada</w:t>
            </w:r>
          </w:p>
        </w:tc>
        <w:tc>
          <w:tcPr>
            <w:tcW w:w="3148" w:type="dxa"/>
          </w:tcPr>
          <w:p w:rsidR="004C1E74" w:rsidRDefault="00F928A6">
            <w:r>
              <w:t>Upis u knjigu ulaznih računa, dodjela brojeva</w:t>
            </w:r>
          </w:p>
        </w:tc>
        <w:tc>
          <w:tcPr>
            <w:tcW w:w="1633" w:type="dxa"/>
          </w:tcPr>
          <w:p w:rsidR="004C1E74" w:rsidRDefault="00F928A6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F928A6">
            <w:r>
              <w:t>1 dan po odobrenju plaćanja i evidentiranja</w:t>
            </w:r>
          </w:p>
        </w:tc>
        <w:tc>
          <w:tcPr>
            <w:tcW w:w="1383" w:type="dxa"/>
          </w:tcPr>
          <w:p w:rsidR="004C1E74" w:rsidRDefault="00F928A6">
            <w:r>
              <w:t>Knjiga ulaznih računa</w:t>
            </w:r>
          </w:p>
        </w:tc>
      </w:tr>
      <w:tr w:rsidR="00F928A6" w:rsidTr="00036F70">
        <w:tc>
          <w:tcPr>
            <w:tcW w:w="1564" w:type="dxa"/>
          </w:tcPr>
          <w:p w:rsidR="004C1E74" w:rsidRDefault="00F928A6">
            <w:r>
              <w:t>Odbijanje                       e-računa</w:t>
            </w:r>
          </w:p>
        </w:tc>
        <w:tc>
          <w:tcPr>
            <w:tcW w:w="3148" w:type="dxa"/>
          </w:tcPr>
          <w:p w:rsidR="004C1E74" w:rsidRDefault="00F928A6">
            <w:r>
              <w:t>Račun koji je zaprimljen u elektroničkom obliku ukoliko ne sadrži sve potrebne elemente ili je računski neispravan</w:t>
            </w:r>
          </w:p>
        </w:tc>
        <w:tc>
          <w:tcPr>
            <w:tcW w:w="1633" w:type="dxa"/>
          </w:tcPr>
          <w:p w:rsidR="004C1E74" w:rsidRDefault="00F928A6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F928A6">
            <w:r>
              <w:t>Istog dana</w:t>
            </w:r>
          </w:p>
        </w:tc>
        <w:tc>
          <w:tcPr>
            <w:tcW w:w="1383" w:type="dxa"/>
          </w:tcPr>
          <w:p w:rsidR="004C1E74" w:rsidRDefault="004C1E74"/>
        </w:tc>
      </w:tr>
      <w:tr w:rsidR="00F928A6" w:rsidTr="00036F70">
        <w:tc>
          <w:tcPr>
            <w:tcW w:w="1564" w:type="dxa"/>
          </w:tcPr>
          <w:p w:rsidR="004C1E74" w:rsidRDefault="00F928A6">
            <w:r>
              <w:t>Kontiranje i knjiženje računa</w:t>
            </w:r>
          </w:p>
        </w:tc>
        <w:tc>
          <w:tcPr>
            <w:tcW w:w="3148" w:type="dxa"/>
          </w:tcPr>
          <w:p w:rsidR="004C1E74" w:rsidRDefault="00F928A6">
            <w:r>
              <w:t>Razvrstavanje računa prema vrstama rashoda, programima(aktivnostima/projektima)</w:t>
            </w:r>
            <w:r w:rsidR="00603CB2">
              <w:t xml:space="preserve"> i izvorima financiranja te unos u računovodstveni sustav.</w:t>
            </w:r>
          </w:p>
        </w:tc>
        <w:tc>
          <w:tcPr>
            <w:tcW w:w="1633" w:type="dxa"/>
          </w:tcPr>
          <w:p w:rsidR="004C1E74" w:rsidRDefault="00603CB2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603CB2">
            <w:r>
              <w:t>Unutar mjeseca na kojeg se odnosi račun</w:t>
            </w:r>
          </w:p>
        </w:tc>
        <w:tc>
          <w:tcPr>
            <w:tcW w:w="1383" w:type="dxa"/>
          </w:tcPr>
          <w:p w:rsidR="004C1E74" w:rsidRDefault="00603CB2">
            <w:proofErr w:type="spellStart"/>
            <w:r>
              <w:t>Kontni</w:t>
            </w:r>
            <w:proofErr w:type="spellEnd"/>
            <w:r>
              <w:t xml:space="preserve"> plan/klasifikacijski sustav</w:t>
            </w:r>
          </w:p>
        </w:tc>
      </w:tr>
    </w:tbl>
    <w:p w:rsidR="00603CB2" w:rsidRDefault="00603CB2"/>
    <w:p w:rsidR="00603CB2" w:rsidRDefault="00603CB2">
      <w:r>
        <w:t>Ova Procedura stupa na snagu danom donošenja, a objavit će se na oglasnoj ploči i internetskoj stranici Škole.</w:t>
      </w:r>
    </w:p>
    <w:p w:rsidR="00603CB2" w:rsidRDefault="00603CB2">
      <w:r>
        <w:t>Donošenjem ove Procedure prestaje važiti Procedura od</w:t>
      </w:r>
      <w:r w:rsidR="001462A4">
        <w:t xml:space="preserve"> 02.03.2012. godine ( klasa: 602-01/12-01/39; </w:t>
      </w:r>
      <w:proofErr w:type="spellStart"/>
      <w:r w:rsidR="001462A4">
        <w:t>ur.broj</w:t>
      </w:r>
      <w:proofErr w:type="spellEnd"/>
      <w:r w:rsidR="001462A4">
        <w:t>: 2104-31-01-12-01 )</w:t>
      </w:r>
    </w:p>
    <w:p w:rsidR="00603CB2" w:rsidRDefault="00603CB2"/>
    <w:p w:rsidR="00603CB2" w:rsidRDefault="00603CB2"/>
    <w:p w:rsidR="00603CB2" w:rsidRDefault="00603CB2" w:rsidP="00603CB2">
      <w:pPr>
        <w:jc w:val="right"/>
      </w:pPr>
      <w:r>
        <w:t>Ravnateljica:</w:t>
      </w:r>
    </w:p>
    <w:p w:rsidR="00036F70" w:rsidRDefault="00036F70" w:rsidP="00603CB2">
      <w:pPr>
        <w:jc w:val="right"/>
      </w:pPr>
      <w:r>
        <w:t xml:space="preserve">Milka </w:t>
      </w:r>
      <w:proofErr w:type="spellStart"/>
      <w:r>
        <w:t>Restović</w:t>
      </w:r>
      <w:proofErr w:type="spellEnd"/>
    </w:p>
    <w:sectPr w:rsidR="00036F70" w:rsidSect="00CA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E74"/>
    <w:rsid w:val="00036F70"/>
    <w:rsid w:val="000E3BDD"/>
    <w:rsid w:val="00102563"/>
    <w:rsid w:val="001462A4"/>
    <w:rsid w:val="001D283D"/>
    <w:rsid w:val="004C1E74"/>
    <w:rsid w:val="005249BA"/>
    <w:rsid w:val="00603CB2"/>
    <w:rsid w:val="00991D3C"/>
    <w:rsid w:val="00CA3137"/>
    <w:rsid w:val="00CB3C83"/>
    <w:rsid w:val="00F928A6"/>
    <w:rsid w:val="00FC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2019-11-19T09:03:00Z</cp:lastPrinted>
  <dcterms:created xsi:type="dcterms:W3CDTF">2019-11-15T08:53:00Z</dcterms:created>
  <dcterms:modified xsi:type="dcterms:W3CDTF">2019-11-19T09:03:00Z</dcterms:modified>
</cp:coreProperties>
</file>